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 RiFlEtikettG — Inkrafttreten</w:t>
      </w:r>
    </w:p>
    <w:p>
      <w:r>
        <w:rPr>
          <w:color w:val="555555"/>
          <w:sz w:val="18"/>
        </w:rPr>
        <w:t xml:space="preserve">Rindfleischetikettierungsgesetz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13 RiFlEtikettG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https://recht.nulegal.eu/gesetze/RiFlEtikettG/13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 RiFlEtikettG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