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RiFlEtiZV (Brandenburg)</w:t>
      </w:r>
    </w:p>
    <w:p>
      <w:r>
        <w:rPr>
          <w:color w:val="555555"/>
          <w:sz w:val="18"/>
        </w:rPr>
        <w:t xml:space="preserve">Rindfleischetikettierungszuständigkeitsverordnung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Zuständige Verwaltungsbehörden für die Verfolgung und Ahndung von Ordnungswidrigkeiten nach § 11 des Rindfleischetikettierungsgesetzes sind jeweils die in § 1 genannten Behörden.</w:t>
      </w:r>
    </w:p>
    <w:p>
      <w:r>
        <w:rPr>
          <w:color w:val="555555"/>
          <w:sz w:val="17"/>
        </w:rPr>
        <w:t xml:space="preserve">Zitiervorschlag: § 2 RiFlEtiZV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https://recht.nulegal.eu/gesetze/RiFlEtiZV/2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