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RiErnennV (Brandenburg) — Schlussbestimmungen</w:t>
      </w:r>
    </w:p>
    <w:p>
      <w:r>
        <w:rPr>
          <w:color w:val="555555"/>
          <w:sz w:val="18"/>
        </w:rPr>
        <w:t xml:space="preserve">Richterernennungsverordnung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dieser Verordnung verwendeten Funktions- und Statusbezeichnungen</w:t>
      </w:r>
    </w:p>
    <w:p>
      <w:r>
        <w:t xml:space="preserve">gelten für Frauen und Männer.</w:t>
      </w:r>
    </w:p>
    <w:p>
      <w:r>
        <w:t xml:space="preserve">(2) Die zur Durchführung dieser Verordnung erforderlichen Bestimmungen</w:t>
      </w:r>
    </w:p>
    <w:p>
      <w:r>
        <w:t xml:space="preserve">erlässt das für den jeweiligen Gerichtszweig zuständige Mitglied</w:t>
      </w:r>
    </w:p>
    <w:p>
      <w:r>
        <w:t xml:space="preserve">der Landesregierung.</w:t>
      </w:r>
    </w:p>
    <w:p>
      <w:r>
        <w:rPr>
          <w:color w:val="555555"/>
          <w:sz w:val="17"/>
        </w:rPr>
        <w:t xml:space="preserve">Zitiervorschlag: § 5 RiErnennV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https://recht.nulegal.eu/gesetze/RiErnennV/5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RiErnennV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