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RiErnennV (Brandenburg) — Entlassung auf schriftliches Verlangen und Versetzung in den Ruhestand wegen Dienstunfähigkeit</w:t>
      </w:r>
    </w:p>
    <w:p>
      <w:r>
        <w:rPr>
          <w:color w:val="555555"/>
          <w:sz w:val="18"/>
        </w:rPr>
        <w:t xml:space="preserve">Richterernennungsverordnung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Für die Entlassung eines durch die Landesregierung ernannten Richters</w:t>
      </w:r>
    </w:p>
    <w:p>
      <w:r>
        <w:t xml:space="preserve">auf sein schriftliches Verlangen im Fall des § 21 Abs. 2 Nr. 4 des</w:t>
      </w:r>
    </w:p>
    <w:p>
      <w:r>
        <w:t xml:space="preserve">Deutschen Richtergesetzes ist das für den jeweiligen Gerichtszweig</w:t>
      </w:r>
    </w:p>
    <w:p>
      <w:r>
        <w:t xml:space="preserve">zuständige Mitglied der Landesregierung zuständig. Das Gleiche gilt</w:t>
      </w:r>
    </w:p>
    <w:p>
      <w:r>
        <w:t xml:space="preserve">für die Versetzung eines durch die Landesregierung ernannten Richters in</w:t>
      </w:r>
    </w:p>
    <w:p>
      <w:r>
        <w:t xml:space="preserve">den Ruhestand wegen Dienstunfähigkeit in den Fällen des § 86</w:t>
      </w:r>
    </w:p>
    <w:p>
      <w:r>
        <w:t xml:space="preserve">Abs. 1 und des § 87 Abs. 4 Satz 5 des Brandenburgischen Richtergesetzes.</w:t>
      </w:r>
    </w:p>
    <w:p>
      <w:r>
        <w:rPr>
          <w:color w:val="555555"/>
          <w:sz w:val="17"/>
        </w:rPr>
        <w:t xml:space="preserve">Zitiervorschlag: § 4 RiErnennV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https://recht.nulegal.eu/gesetze/RiErnennV/4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