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RiErnennV (Brandenburg) — Übertragung von Ämtern ohne Ernennung, Versetzung in den Landesdienst</w:t>
      </w:r>
    </w:p>
    <w:p>
      <w:r>
        <w:rPr>
          <w:color w:val="555555"/>
          <w:sz w:val="18"/>
        </w:rPr>
        <w:t xml:space="preserve">Richterernennungsverordnung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§ 2 gilt entsprechend für die Übertragung eines</w:t>
      </w:r>
    </w:p>
    <w:p>
      <w:r>
        <w:t xml:space="preserve">Richteramtes, die keiner Ernennung nach § 17 Abs. 2 des Deutschen</w:t>
      </w:r>
    </w:p>
    <w:p>
      <w:r>
        <w:t xml:space="preserve">Richtergesetzes bedarf, sowie für die Erklärung des</w:t>
      </w:r>
    </w:p>
    <w:p>
      <w:r>
        <w:t xml:space="preserve">Einverständnisses zu Versetzungen in den Landesdienst.</w:t>
      </w:r>
    </w:p>
    <w:p>
      <w:r>
        <w:rPr>
          <w:color w:val="555555"/>
          <w:sz w:val="17"/>
        </w:rPr>
        <w:t xml:space="preserve">Zitiervorschlag: § 3 RiErnennV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https://recht.nulegal.eu/gesetze/RiErnennV/3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