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RiErnennV (Brandenburg) — Ernennungsbefugnis</w:t>
      </w:r>
    </w:p>
    <w:p>
      <w:r>
        <w:rPr>
          <w:color w:val="555555"/>
          <w:sz w:val="18"/>
        </w:rPr>
        <w:t xml:space="preserve">Richterernennungsverordnung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Landesregierung ernennt die Präsidenten und Direktoren der</w:t>
      </w:r>
    </w:p>
    <w:p>
      <w:r>
        <w:t xml:space="preserve">Gerichte.</w:t>
      </w:r>
    </w:p>
    <w:p>
      <w:r>
        <w:t xml:space="preserve">(2) Im Übrigen wird die Befugnis zur Ernennung der Richter dem</w:t>
      </w:r>
    </w:p>
    <w:p>
      <w:r>
        <w:t xml:space="preserve">für den jeweiligen Gerichtszweig zuständigen Mitglied der</w:t>
      </w:r>
    </w:p>
    <w:p>
      <w:r>
        <w:t xml:space="preserve">Landesregierung übertragen.</w:t>
      </w:r>
    </w:p>
    <w:p>
      <w:r>
        <w:t xml:space="preserve">(3) Die Ernennungen erfolgen im Namen des Landes Brandenburg.</w:t>
      </w:r>
    </w:p>
    <w:p>
      <w:r>
        <w:rPr>
          <w:color w:val="555555"/>
          <w:sz w:val="17"/>
        </w:rPr>
        <w:t xml:space="preserve">Zitiervorschlag: § 2 RiErnennV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https://recht.nulegal.eu/gesetze/RiErnennV/2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