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RiErnennV (Brandenburg) — Geltungsbereich</w:t>
      </w:r>
    </w:p>
    <w:p>
      <w:r>
        <w:rPr>
          <w:color w:val="555555"/>
          <w:sz w:val="18"/>
        </w:rPr>
        <w:t xml:space="preserve">Richterernennungsverordnung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gilt für die Ernennung, die Entlassung auf</w:t>
      </w:r>
    </w:p>
    <w:p>
      <w:r>
        <w:t xml:space="preserve">schriftliches Verlangen und die Versetzung in den Ruhestand wegen</w:t>
      </w:r>
    </w:p>
    <w:p>
      <w:r>
        <w:t xml:space="preserve">Dienstunfähigkeit der Richter im Landesdienst mit Ausnahme der Richter bei</w:t>
      </w:r>
    </w:p>
    <w:p>
      <w:r>
        <w:t xml:space="preserve">den durch den Staatsvertrag über die Errichtung gemeinsamer</w:t>
      </w:r>
    </w:p>
    <w:p>
      <w:r>
        <w:t xml:space="preserve">Fachobergerichte der Länder Berlin und Brandenburg vom 26. April 2004</w:t>
      </w:r>
    </w:p>
    <w:p>
      <w:r>
        <w:t xml:space="preserve">(GVBl. I S. 281, 283) errichteten gemeinsamen Fachobergerichten.</w:t>
      </w:r>
    </w:p>
    <w:p>
      <w:r>
        <w:rPr>
          <w:color w:val="555555"/>
          <w:sz w:val="17"/>
        </w:rPr>
        <w:t xml:space="preserve">Zitiervorschlag: § 1 RiErnennV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https://recht.nulegal.eu/gesetze/RiErnennV/1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RiErnennV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