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RheinfallVtrG CHE</w:t>
      </w:r>
    </w:p>
    <w:p>
      <w:r>
        <w:rPr>
          <w:color w:val="555555"/>
          <w:sz w:val="18"/>
        </w:rPr>
        <w:t xml:space="preserve">Gesetz zu dem Vertrag vom 23. November 1964 zwischen der Bundesrepublik Deutschland und der Schweizerischen Eidgenossenschaft über die Bereinigung der Grenze im Abschnitt Konstanz-Neuhausen am Rheinfall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den Gebietsteilen, die nach Artikel 1 Abs. 1 des Vertrages auf die Bundesrepublik Deutschland übergehen, treten mit dem Zeitpunkt des Inkrafttretens des Vertrages die im Regierungsbezirk Süd-Baden geltenden Vorschriften des Bundesrechts in Kraft. Gleichzeitig tritt das schweizerische Recht in diesen Gebietsteilen außer Kraft.</w:t>
      </w:r>
    </w:p>
    <w:p>
      <w:r>
        <w:rPr>
          <w:color w:val="555555"/>
          <w:sz w:val="17"/>
        </w:rPr>
        <w:t xml:space="preserve">Zitiervorschlag: Art 2 RheinfallVtrG CHE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https://recht.nulegal.eu/gesetze/RheinfallVtrG%20CHE/2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