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7.21 RheinSchPersV — Ablauf der Gültigkeit eines als gleichwertig anerkannten Schiffsführerzeugnisses auf dem Rhein</w:t>
      </w:r>
    </w:p>
    <w:p>
      <w:r>
        <w:rPr>
          <w:color w:val="555555"/>
          <w:sz w:val="18"/>
        </w:rPr>
        <w:t xml:space="preserve">Schiffspersonalverordnung-Rhein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von der ZKR als gleichwertig anerkannte Schiffsführerzeugnis verliert, auch ohne dass es dazu einer besonderen Entscheidung bedarf, seine Gültigkeit auf dem Rhein,</w:t>
      </w:r>
    </w:p>
    <w:p>
      <w:pPr>
        <w:ind w:left="420"/>
      </w:pPr>
      <w:r>
        <w:t xml:space="preserve">a) wenn der Bescheid zur Tauglichkeit gemäß Anlage B3 nicht vorgelegt oder innerhalb von drei Monaten nach der in § 3.04 Buchstabe a) festgesetzten Erneuerungsfrist nicht vorgelegt oder erneuert wird oder</w:t>
      </w:r>
    </w:p>
    <w:p>
      <w:pPr>
        <w:ind w:left="420"/>
      </w:pPr>
      <w:r>
        <w:t xml:space="preserve">b) wenn in den Fällen, in denen die ZKR gemäß § 7.19 Nr. 1 die Ausstellung eines neuen Schiffsführerzeugnisses als gültigen Nachweis für die Erneuerung der Tauglichkeit anerkennt, das Gültigkeitsdatum des als gleichwertig anerkannten Schiffsführerzeugnisses seit mindestens drei Monaten abgelaufen ist.</w:t>
      </w:r>
    </w:p>
    <w:p>
      <w:r>
        <w:rPr>
          <w:color w:val="555555"/>
          <w:sz w:val="17"/>
        </w:rPr>
        <w:t xml:space="preserve">Zitiervorschlag: § 7.21 RheinSchPersV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https://recht.nulegal.eu/gesetze/RheinSchPersV/7.21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