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3.21 RheinSchPersV — Mindestbesatzung von Kanalpenichen</w:t>
      </w:r>
    </w:p>
    <w:p>
      <w:r>
        <w:rPr>
          <w:color w:val="555555"/>
          <w:sz w:val="18"/>
        </w:rPr>
        <w:t xml:space="preserve">Schiffspersonalverordnung-Rhein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dieses Kapitels gelten nicht für Kanalpenichen. Die Besatzung muss jedoch mindestens umfassen:</w:t>
      </w:r>
    </w:p>
    <w:p>
      <w:pPr>
        <w:ind w:left="420"/>
      </w:pPr>
      <w:r>
        <w:t xml:space="preserve">- einen Schiffsführer mit dem nach dieser Verordnung erforderlichen Schifferpatent und</w:t>
      </w:r>
    </w:p>
    <w:p>
      <w:pPr>
        <w:ind w:left="420"/>
      </w:pPr>
      <w:r>
        <w:t xml:space="preserve">- eine mindestens 16 Jahre alte Person, die in der Lage ist, bei den Schiffsmanövern zu helfen.</w:t>
      </w:r>
    </w:p>
    <w:p>
      <w:r>
        <w:rPr>
          <w:color w:val="555555"/>
          <w:sz w:val="17"/>
        </w:rPr>
        <w:t xml:space="preserve">Zitiervorschlag: § 3.21 RheinSchPersV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https://recht.nulegal.eu/gesetze/RheinSchPersV/3.21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