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3.18 RheinSchPersV — Nichterfüllung der Ausrüstung nach § 3.14</w:t>
      </w:r>
    </w:p>
    <w:p>
      <w:r>
        <w:rPr>
          <w:color w:val="555555"/>
          <w:sz w:val="18"/>
        </w:rPr>
        <w:t xml:space="preserve">Schiffspersonalverordnung-Rhein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Entspricht ein Motorschiff, ein Schubboot, ein starrer Verband, eine andere starre Zusammenstellung oder ein Fahrgastschiff nicht dem in § 3.14 dieser Verordnung definierten Standard S1, muss die Mindestbesatzung nach § 3.15, § 3.16 oder § 3.17 wie folgt erhöht werden:</w:t>
      </w:r>
    </w:p>
    <w:p>
      <w:pPr>
        <w:ind w:left="780"/>
      </w:pPr>
      <w:r>
        <w:t xml:space="preserve">a) in den Betriebsformen A1 und A2 jeweils um einen Matrosen und</w:t>
      </w:r>
    </w:p>
    <w:p>
      <w:pPr>
        <w:ind w:left="780"/>
      </w:pPr>
      <w:r>
        <w:t xml:space="preserve">b) in der Betriebsform B jeweils um zwei Matrosen. Werden nur die Anforderungen nach den Buchstaben i und l beziehungsweise den Buchstaben i oder l des Standards S1 nach § 3.14 Nummer 1.1 nicht erfüllt, ist in der Betriebsform B die Besatzung nur um einen Matrosen zu erhöhen.</w:t>
      </w:r>
    </w:p>
    <w:p>
      <w:pPr>
        <w:ind w:left="420"/>
      </w:pPr>
      <w:r>
        <w:t xml:space="preserve">2. Entspricht die Ausrüstung des Schiffes nur zum Teil dem in § 3.14 definierten Standard S1, das heißt, werden eine oder mehrere Anforderungen nach § 3.14 Nummer 1.1 Buchstabe a bis c nicht erfüllt,</w:t>
      </w:r>
    </w:p>
    <w:p>
      <w:pPr>
        <w:ind w:left="780"/>
      </w:pPr>
      <w:r>
        <w:t xml:space="preserve">a) ist in den Betriebsformen A1 und A2 der Matrose nach Nummer 1 Buchstabe a durch einen Bootsmann;</w:t>
      </w:r>
    </w:p>
    <w:p>
      <w:pPr>
        <w:ind w:left="780"/>
      </w:pPr>
      <w:r>
        <w:t xml:space="preserve">b) sind in der Betriebsform B die zwei Matrosen nach Nummer 1 Buchstabe b durch zwei Bootsmänner zu ersetzen.</w:t>
      </w:r>
    </w:p>
    <w:p>
      <w:pPr>
        <w:ind w:left="420"/>
      </w:pPr>
      <w:r>
        <w:t xml:space="preserve">Im Fall des Satz 1 können die Bootsmänner durch Matrosen ersetzt werden, sofern die Bootsmänner bereits zur nach den in § 3.15, § 3.16 oder § 3.17 vorgeschriebenen Mindestbesatzung gehören.</w:t>
      </w:r>
    </w:p>
    <w:p>
      <w:pPr>
        <w:ind w:left="420"/>
      </w:pPr>
      <w:r>
        <w:t xml:space="preserve">3. Das zusätzlich erforderliche Besatzungspersonal wird von der Untersuchungskommission im Binnenschiffszeugnis unter der Nummer 47 vermerkt.</w:t>
      </w:r>
    </w:p>
    <w:p>
      <w:r>
        <w:rPr>
          <w:color w:val="555555"/>
          <w:sz w:val="17"/>
        </w:rPr>
        <w:t xml:space="preserve">Zitiervorschlag: § 3.18 RheinSchPersV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https://recht.nulegal.eu/gesetze/RheinSchPersV/3.18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