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3.13 RheinSchPersV — Bordbuch – Fahrtenschreiber</w:t>
      </w:r>
    </w:p>
    <w:p>
      <w:r>
        <w:rPr>
          <w:color w:val="555555"/>
          <w:sz w:val="18"/>
        </w:rPr>
        <w:t xml:space="preserve">Schiffspersonalverordnung-Rhein</w:t>
      </w:r>
    </w:p>
    <w:p>
      <w:r>
        <w:rPr>
          <w:color w:val="555555"/>
          <w:sz w:val="18"/>
        </w:rPr>
        <w:t xml:space="preserve">Stand: 10.06.2019 (konsolidierte Textfassung, kein amtliches Inkrafttretensdatum)</w:t>
      </w:r>
    </w:p>
    <w:p>
      <w:pPr>
        <w:ind w:left="420"/>
      </w:pPr>
      <w:r>
        <w:t xml:space="preserve">1. Auf jedem Schiff ist im Steuerhaus ein Bordbuch nach dem Muster der Anlage A1 mitzuführen, ausgenommen auf Schlepp- und Schubbooten, die nur in Häfen verkehren, auf unbemannten Schubleichtern, Behördenfahrzeugen und Sportfahrzeugen. Dieses Bordbuch ist entsprechend der darin enthaltenen Anleitung auszufüllen. Verantwortlich für das Mitführen des Bordbuches und für die Einträge ist der Schiffsführer. Das erste Bordbuch, das mit der Nummer 1, dem Namen des Schiffes und dessen einheitlicher europäischer Schiffsnummer (ENI) oder dessen amtlicher Schiffsnummer zu versehen ist, muss von einer zuständigen Behörde eines Rheinuferstaates oder Belgiens aufgrund der Vorlage eines gültigen Binnenschiffszeugnisses ausgestellt sein. Auf Schiffen, die über ein gemäß Anlage O zur RheinSchUO auf dem Rhein anerkanntes Gemeinschaftszeugnis verfügen, kann statt des von einer zuständigen Behörde eines Rheinuferstaates oder Belgiens ausgestellten Bordbuches ein von einer zuständigen Behörde eines Drittstaates ausgestelltes und von der ZKR anerkanntes Bordbuch mitgeführt werden. Anerkannte Bordbücher sind in mindestens einer der Amtssprachen der ZKR zu führen. Die zuständigen Behörden für die Ausstellung von auf dem Rhein gültigen Bordbüchern ergeben sich aus Anlage A1a.</w:t>
      </w:r>
    </w:p>
    <w:p>
      <w:pPr>
        <w:ind w:left="420"/>
      </w:pPr>
      <w:r>
        <w:t xml:space="preserve">2. Alle nachfolgenden Bordbücher können von allen zuständigen Behörden eines Rheinuferstaates oder Belgiens mit der Folgenummer nummeriert ausgegeben werden, dürfen jedoch nur gegen Vorlage des vorangegangenen Bordbuches ausgehändigt werden. Das vorangegangene Bordbuch muss unaustilgbar „ungültig“ gekennzeichnet und dem Schiffsführer zurückgegeben werden. Die Aushändigung des neuen Bordbuches kann bei Vorlage der Bescheinigung nach Nummer 4 erfolgen. Der Schiffseigner hat jedoch dafür zu sorgen, dass das vorangegangene Bordbuch binnen 30 Tagen nach dem Ausstellungsdatum des neuen Bordbuches, das auf der Bescheinigung nach Nummer 4 von der zuständigen Behörde eingetragen worden ist, von derselben zuständigen Behörde unaustilgbar „ungültig“ gekennzeichnet wird. Der Schiffseigner hat außerdem dafür zu sorgen, dass dann das Bordbuch wieder an Bord gebracht wird.</w:t>
      </w:r>
    </w:p>
    <w:p>
      <w:pPr>
        <w:ind w:left="420"/>
      </w:pPr>
      <w:r>
        <w:t xml:space="preserve">3. Das ungültig gezeichnete Bordbuch ist während sechs Monaten nach der letzten Eintragung an Bord aufzubewahren.</w:t>
      </w:r>
    </w:p>
    <w:p>
      <w:pPr>
        <w:ind w:left="420"/>
      </w:pPr>
      <w:r>
        <w:t xml:space="preserve">4. Mit der Ausgabe des ersten Bordbuches nach Nummer 1 erstellt die Behörde, welche das erste Bordbuch ausgibt, eine Bescheinigung, welche die Ausgabe mit Schiffsname, einheitlicher europäischer Schiffsnummer (ENI) oder amtlicher Schiffsnummer, laufender Nummer des Bordbuches und Datum der Ausgabe bescheinigt. Diese Bescheinigung ist an Bord mitzuführen und auf Verlangen vorzuweisen. Nachfolgende Ausgaben von Bordbüchern nach Nummer 2 sind von der ausgebenden Behörde auf der Bescheinigung einzutragen.</w:t>
      </w:r>
    </w:p>
    <w:p>
      <w:pPr>
        <w:ind w:left="420"/>
      </w:pPr>
      <w:r>
        <w:t xml:space="preserve">5. Die Einhaltung der Ruhezeiten kann zudem durch einen Fahrtenschreiber nachgewiesen werden, der den technischen Anforderungen der Anlage A3 entspricht. Die Aufzeichnungen der Fahrtenschreiber sind während sechs Monaten nach der letzten Aufzeichnung an Bord aufzubewahren.</w:t>
      </w:r>
    </w:p>
    <w:p>
      <w:pPr>
        <w:ind w:left="420"/>
      </w:pPr>
      <w:r>
        <w:t xml:space="preserve">6. Bei einem Austausch oder einer Verstärkung der Besatzung nach § 3.12 muss für jedes neue Besatzungsmitglied eine Bescheinigung nach Anlage A4 oder eine Kopie der Seite mit den Eintragungen der Fahr- beziehungsweise Ruhezeiten aus dem Bordbuch des Schiffes, auf dem die letzte Reise des Besatzungsmitgliedes stattgefunden hat, beiliegen.</w:t>
      </w:r>
    </w:p>
    <w:p>
      <w:pPr>
        <w:ind w:left="420"/>
      </w:pPr>
      <w:r>
        <w:t xml:space="preserve">7. a) Nummer 2 der Anleitung zur Führung des Bordbuches, wonach ein einziges Schema pro Fahrt für die Eintragungen der Ruhezeiten genügt, gilt nur für Besatzungsmitglieder in der Betriebsform B. In den Betriebsformen A1 und A2 müssen für jedes Besatzungsmitglied Beginn und Ende der Ruhezeiten jeden Tag während der Fahrt eingetragen werden;</w:t>
      </w:r>
    </w:p>
    <w:p>
      <w:pPr>
        <w:ind w:left="420"/>
      </w:pPr>
      <w:r>
        <w:t xml:space="preserve">b) Die nach dem Wechsel der Betriebsform notwendigen Eintragungen müssen auf einer neuen Seite des Bordbuches eingetragen werden;</w:t>
      </w:r>
    </w:p>
    <w:p>
      <w:pPr>
        <w:ind w:left="420"/>
      </w:pPr>
      <w:r>
        <w:t xml:space="preserve">c) Werden pro Tag zwei oder mehr Fahrten mit unveränderter Besatzung durchgeführt, genügt es, die Uhrzeit des Beginns der ersten Tagesfahrt und die Uhrzeit des Endes der letzten Tagesfahrt einzutragen.</w:t>
      </w:r>
    </w:p>
    <w:p>
      <w:r>
        <w:rPr>
          <w:color w:val="555555"/>
          <w:sz w:val="17"/>
        </w:rPr>
        <w:t xml:space="preserve">Zitiervorschlag: § 3.13 RheinSchPersV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https://recht.nulegal.eu/gesetze/RheinSchPersV/3.13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