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20.01 RheinSchPersV 2023 — Gültigkeit der Schifferdienstbücher</w:t>
      </w:r>
    </w:p>
    <w:p>
      <w:r>
        <w:rPr>
          <w:color w:val="555555"/>
          <w:sz w:val="18"/>
        </w:rPr>
        <w:t xml:space="preserve">Rheinschiffspersonalverordnung (Anlage 1 zur Verordnung zur Einführung der Rheinschiffspersonalverordnung)</w:t>
      </w:r>
    </w:p>
    <w:p>
      <w:r>
        <w:rPr>
          <w:color w:val="555555"/>
          <w:sz w:val="18"/>
        </w:rPr>
        <w:t xml:space="preserve">Stand: 14.03.2026 (konsolidierte Textfassung, kein amtliches Inkrafttretensdatum)</w:t>
      </w:r>
    </w:p>
    <w:p>
      <w:pPr>
        <w:ind w:left="420"/>
      </w:pPr>
      <w:r>
        <w:t xml:space="preserve">1. Schifferdienstbücher, die nach den bis zum Inkrafttreten dieser Verordnung geltenden Vorschriften ausgestellt worden sind oder weitergelten, bleiben nach Maßgabe der bisherigen Vorschriften bis zu ihrem Ablaufdatum, längstens bis zum Ablauf des 17. Januar 2032 gültig. Satz 1 gilt auch für von der ZKR als gleichwertig anerkannte Schifferdienstbücher.</w:t>
      </w:r>
    </w:p>
    <w:p>
      <w:pPr>
        <w:ind w:left="420"/>
      </w:pPr>
      <w:r>
        <w:t xml:space="preserve">2. Der Inhaber eines Schifferdienstbuches nach Nummer 1 kann bis zum Ablauf des 17. Januar 2032 ein neues, nach dieser Verordnung ausgestelltes Schifferdienstbuch mit seiner jeweiligen Qualifikation beantragen. Die Ausstellung dieses Dokuments bemisst sich nach den Bestimmungen des § 5.01 dieser Verordnung.</w:t>
      </w:r>
    </w:p>
    <w:p>
      <w:pPr>
        <w:ind w:left="420"/>
      </w:pPr>
      <w:r>
        <w:t xml:space="preserve">3. Der Inhaber eines Schifferdienstbuches nach Nummer 1 kann bis zum 17. Januar 2032 ein neues Schifferdienstbuch mit einem Befähigungszeugnis, für dessen Erwerb die Anforderungen höher sind, beantragen, wenn die folgenden Bedingungen erfüllt sind:</w:t>
      </w:r>
    </w:p>
    <w:p>
      <w:pPr>
        <w:ind w:left="780"/>
      </w:pPr>
      <w:r>
        <w:t xml:space="preserve">a) für ein Befähigungszeugnis für Matrosen: 540 Tage Fahrzeit, davon mindestens 180 Tage in der Binnenschifffahrt;</w:t>
      </w:r>
    </w:p>
    <w:p>
      <w:pPr>
        <w:ind w:left="780"/>
      </w:pPr>
      <w:r>
        <w:t xml:space="preserve">b) für ein Befähigungszeugnis für Bootsmänner: 900 Tage Fahrzeit, davon mindestens 540 Tage in der Binnenschifffahrt;</w:t>
      </w:r>
    </w:p>
    <w:p>
      <w:pPr>
        <w:ind w:left="780"/>
      </w:pPr>
      <w:r>
        <w:t xml:space="preserve">c) für ein Befähigungszeugnis für Steuerleute: 1080 Tage Fahrzeit, davon mindestens 720 Tage in der Binnenschifffahrt.</w:t>
      </w:r>
    </w:p>
    <w:p>
      <w:pPr>
        <w:ind w:left="420"/>
      </w:pPr>
      <w:r>
        <w:t xml:space="preserve">Die Fahrerfahrung wird anhand eines Schifferdienstbuches, eines Bordbuches oder anderer Belege nachgewiesen.Die Mindestdauer der Fahrzeiten nach den Buchstaben a, b und c dieses Absatzes kann um höchstens 360 Tage Fahrzeit verkürzt werden, wenn der Bewerber</w:t>
      </w:r>
    </w:p>
    <w:p>
      <w:pPr>
        <w:ind w:left="780"/>
      </w:pPr>
      <w:r>
        <w:t xml:space="preserve">– Inhaber eines in Tabelle a des Anhangs 1 zur Dienstanweisung Nummer 1 aufgeführten anerkannten Zeugnisses ist oder</w:t>
      </w:r>
    </w:p>
    <w:p>
      <w:pPr>
        <w:ind w:left="780"/>
      </w:pPr>
      <w:r>
        <w:t xml:space="preserve">– ein in Tabelle b des Anhangs 1 zur Dienstanweisung Nummer 1 aufgeführtes Ausbildungsprogramm absolviert hat.</w:t>
      </w:r>
    </w:p>
    <w:p>
      <w:pPr>
        <w:ind w:left="420"/>
      </w:pPr>
      <w:r>
        <w:t xml:space="preserve">4. Der Umtausch nach den Nummern 2 und 3 kann bei jeder zuständigen Behörde eines Mitgliedsstaates der ZKR erfolgen. Die zuständige Behörde stellt das Schifferdienstbuch nach dieser Verordnung aus, wenn der Antragssteller sein altes Schifferdienstbuch nach Nummer 1 und eine Kopie seines Ausweisdokumentes vorlegt. Hat der Antragssteller bereits das 60. Lebensjahr überschritten, hat er zudem den Nachweis seiner Tauglichkeit gemäß § 4.02 vorzulegen, der nicht älter als drei Monate sein darf.</w:t>
      </w:r>
    </w:p>
    <w:p>
      <w:r>
        <w:rPr>
          <w:color w:val="555555"/>
          <w:sz w:val="17"/>
        </w:rPr>
        <w:t xml:space="preserve">Zitiervorschlag: § 20.01 RheinSchPersV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https://recht.nulegal.eu/gesetze/RheinSchPersV%202023/20.01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20.01 RheinSchPersV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