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RheinSchPersEV — Ausnahmen von der Schifferpatentpflicht</w:t>
      </w:r>
    </w:p>
    <w:p>
      <w:r>
        <w:rPr>
          <w:color w:val="555555"/>
          <w:sz w:val="18"/>
        </w:rPr>
        <w:t xml:space="preserve">Rheinschiffspersonaleinführungsverordnung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Führung von Fahrzeugen der Streitkräfte ist ein Rheinpatent nicht erforderlich.</w:t>
      </w:r>
    </w:p>
    <w:p>
      <w:r>
        <w:t xml:space="preserve">(2) Zur Führung von Fahrzeugen im Sinne des § 6.02 Nummer 5 der Schiffspersonalverordnung-Rhein ist ein Schifferpatent gemäß Schiffspersonalverordnung-Rhein nicht erforderlich.</w:t>
      </w:r>
    </w:p>
    <w:p>
      <w:r>
        <w:rPr>
          <w:color w:val="555555"/>
          <w:sz w:val="17"/>
        </w:rPr>
        <w:t xml:space="preserve">Zitiervorschlag: Art 2 RheinSchPersEV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https://recht.nulegal.eu/gesetze/RheinSchPersEV/2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