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RheinSchPersEV — Inkrafttreten, Außerkrafttreten</w:t>
      </w:r>
    </w:p>
    <w:p>
      <w:r>
        <w:rPr>
          <w:color w:val="555555"/>
          <w:sz w:val="18"/>
        </w:rPr>
        <w:t xml:space="preserve">Rheinschiffspersonaleinführungsverordnung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und die in Artikel 1 genannten Beschlüsse treten am Tag nach der Verkündung in Kraft.</w:t>
      </w:r>
    </w:p>
    <w:p>
      <w:r>
        <w:t xml:space="preserve">(2) Die in Artikel 1 unter den Nummern 4 und 5 genannten Beschlüsse treten am 30. September 2014 außer Kraft.</w:t>
      </w:r>
    </w:p>
    <w:p>
      <w:r>
        <w:rPr>
          <w:color w:val="555555"/>
          <w:sz w:val="17"/>
        </w:rPr>
        <w:t xml:space="preserve">Zitiervorschlag: Art 18 RheinSchPersEV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https://recht.nulegal.eu/gesetze/RheinSchPersEV/18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