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RheinSchPVAbwV 45 — Ordnungswidrigkeiten</w:t>
      </w:r>
    </w:p>
    <w:p>
      <w:r>
        <w:rPr>
          <w:color w:val="555555"/>
          <w:sz w:val="18"/>
        </w:rPr>
        <w:t xml:space="preserve">Fünfundvierzigste Verordnung zur vorübergehenden Abweichung von der Rheinschifffahrtspolizeiverordnung</w:t>
      </w:r>
    </w:p>
    <w:p>
      <w:r>
        <w:rPr>
          <w:color w:val="555555"/>
          <w:sz w:val="18"/>
        </w:rPr>
        <w:t xml:space="preserve">Stand: 01.12.2024 (konsolidierte Textfassung, kein amtliches Inkrafttretensdatum)</w:t>
      </w:r>
    </w:p>
    <w:p>
      <w:r>
        <w:t xml:space="preserve">Ordnungswidrig im Sinne des § 7 Absatz 1 des Binnenschifffahrtsaufgabengesetzes handelt, wer vorsätzlich oder fahrlässig entgegen § 2 nicht sicherstellt, dass ein Inland ECDIS Gerät oder ein vergleichbares Gerät zur Anzeige elektronischer Binnenschifffahrtskarten zusammen mit einer elektronischen Binnenschifffahrtskarte genutzt wird.</w:t>
      </w:r>
    </w:p>
    <w:p>
      <w:r>
        <w:rPr>
          <w:color w:val="555555"/>
          <w:sz w:val="17"/>
        </w:rPr>
        <w:t xml:space="preserve">Zitiervorschlag: § 3 RheinSchPVAbwV 45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https://recht.nulegal.eu/gesetze/RheinSchPVAbwV%2045/3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RheinSchPVAbwV 45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