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4.02 RheinSchPV 1994 — Gebrauch der Schallzeichen</w:t>
      </w:r>
    </w:p>
    <w:p>
      <w:r>
        <w:rPr>
          <w:color w:val="555555"/>
          <w:sz w:val="18"/>
        </w:rPr>
        <w:t xml:space="preserve">Rheinschiffahrtspolizeiverordnung (Anlage zur Verordnung zur Einführung der Rheinschiffahrtspolizeiverordnung)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Vorbehaltlich anderer Bestimmungen dieser Verordnung muß jedes Fahrzeug - mit Ausnahme der Kleinfahrzeuge - erforderlichenfalls die Zeichen nach Anlage 6 geben.</w:t>
      </w:r>
    </w:p>
    <w:p>
      <w:pPr>
        <w:ind w:left="420"/>
      </w:pPr>
      <w:r>
        <w:t xml:space="preserve">2. Kleinfahrzeuge können erforderlichenfalls die allgemeinen Zeichen nach Abschnitt A der Anlage 6 geben.</w:t>
      </w:r>
    </w:p>
    <w:p>
      <w:r>
        <w:rPr>
          <w:color w:val="555555"/>
          <w:sz w:val="17"/>
        </w:rPr>
        <w:t xml:space="preserve">Zitiervorschlag: § 4.02 RheinSchPV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https://recht.nulegal.eu/gesetze/RheinSchPV%201994/4.02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4.02 RheinSchPV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