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RheinPatVÄndInkrV 1</w:t>
      </w:r>
    </w:p>
    <w:p>
      <w:r>
        <w:rPr>
          <w:color w:val="555555"/>
          <w:sz w:val="18"/>
        </w:rPr>
        <w:t xml:space="preserve">Erste Verordnung über die Inkraftsetzung von Änderungen der Rheinpatentverordnung</w:t>
      </w:r>
    </w:p>
    <w:p>
      <w:r>
        <w:rPr>
          <w:color w:val="555555"/>
          <w:sz w:val="18"/>
        </w:rPr>
        <w:t xml:space="preserve">Stand: 10.06.2019 (konsolidierte Textfassung, kein amtliches Inkrafttretensdatum)</w:t>
      </w:r>
    </w:p>
    <w:p>
      <w:r>
        <w:t xml:space="preserve">Die mit Beschluss vom 20. Mai 1999 der Zentralkommission für die Rheinschifffahrt in Straßburg angenommenen Änderungen der Rheinpatentverordnung (BGBl. 1997 II S. 2174) werden für die Bundeswasserstraße Rhein in Kraft gesetzt. Sie werden nachstehend veröffentlicht.</w:t>
      </w:r>
    </w:p>
    <w:p>
      <w:r>
        <w:rPr>
          <w:color w:val="555555"/>
          <w:sz w:val="17"/>
        </w:rPr>
        <w:t xml:space="preserve">Zitiervorschlag: Art 1 RheinPatVÄndInkrV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https://recht.nulegal.eu/gesetze/RheinPatV%C3%84ndInkrV%201/1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RheinPatVÄndInkrV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