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RheinMainDonSchStrG — Eigentumsverhältnisse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Eigentum an den in § 1 Abs. 1 und 2 bezeichneten Strecken steht dem Bund zu. Das gilt auch für die kanalisierte Regnitz von km 3,70 rechts bis 170 m oberhalb der Brückenachse des Wehres Bamberg.</w:t>
      </w:r>
    </w:p>
    <w:p>
      <w:r>
        <w:t xml:space="preserve">(2) Das Eigentum an den in § 2 Nr. 1 bis 5 bezeichneten Strecken steht Bayern zu.</w:t>
      </w:r>
    </w:p>
    <w:p>
      <w:r>
        <w:t xml:space="preserve">(3) Ein Wertausgleich findet nicht statt.</w:t>
      </w:r>
    </w:p>
    <w:p>
      <w:r>
        <w:t xml:space="preserve">(4) Das Grundbuch wird auf Grund eines gemeinsamen Ersuchens des Bundes und Bayerns berichtigt. Ein Übergang des Eigentums und der anderen Rechte ist von Abgaben und Kosten befreit.</w:t>
      </w:r>
    </w:p>
    <w:p>
      <w:r>
        <w:rPr>
          <w:color w:val="555555"/>
          <w:sz w:val="17"/>
        </w:rPr>
        <w:t xml:space="preserve">Zitiervorschlag: § 4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