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RheinMainDonSchStrG — Durchleiten von Wasser</w:t>
      </w:r>
    </w:p>
    <w:p>
      <w:r>
        <w:rPr>
          <w:color w:val="555555"/>
          <w:sz w:val="18"/>
        </w:rPr>
        <w:t xml:space="preserve">Gesetz über den rechtlichen Status der Rhein-Main-Donau-Großschiffahrtsstraße zwischen dem Main und Nürnberg und über die damit zusammenhängenden Eigentumsverhältnisse</w:t>
      </w:r>
    </w:p>
    <w:p>
      <w:r>
        <w:rPr>
          <w:color w:val="555555"/>
          <w:sz w:val="18"/>
        </w:rPr>
        <w:t xml:space="preserve">Stand: 10.06.2019 (konsolidierte Textfassung, kein amtliches Inkrafttretensdatum)</w:t>
      </w:r>
    </w:p>
    <w:p>
      <w:r>
        <w:t xml:space="preserve">Über ein etwaiges Durchleiten von Wasser für wasserwirtschaftliche oder landeskulturelle Zwecke durch die Bundeswasserstraße über den normalen Wasserabfluß hinaus und die damit zusammenhängenden Fragen bleibt eine Vereinbarung zwischen dem Bund und Bayern vorbehalten.</w:t>
      </w:r>
    </w:p>
    <w:p>
      <w:r>
        <w:rPr>
          <w:color w:val="555555"/>
          <w:sz w:val="17"/>
        </w:rPr>
        <w:t xml:space="preserve">Zitiervorschlag: § 3 RheinMainDonSchStrG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https://recht.nulegal.eu/gesetze/RheinMainDonSchStrG/3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