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RheinMainDonSchStrG — (weggefallen)</w:t>
      </w:r>
    </w:p>
    <w:p>
      <w:r>
        <w:rPr>
          <w:color w:val="555555"/>
          <w:sz w:val="18"/>
        </w:rPr>
        <w:t xml:space="preserve">Gesetz über den rechtlichen Status der Rhein-Main-Donau-Großschiffahrtsstraße zwischen dem Main und Nürnberg und über die damit zusammenhängenden Eigentumsverhältnisse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 RheinMainDonSchStrG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https://recht.nulegal.eu/gesetze/RheinMainDonSchStrG/1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