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RheinLotsO</w:t>
      </w:r>
    </w:p>
    <w:p>
      <w:r>
        <w:rPr>
          <w:color w:val="555555"/>
          <w:sz w:val="18"/>
        </w:rPr>
        <w:t xml:space="preserve">Lotsenordnung für den Rhein zwischen Basel und Mannheim/Ludwigshafen (Anlage 1 zu der Verordnung zur Einführung der Lotsenordnung für den Oberrhein)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an die Stelle aller zur Ausführung der revidierten Rheinschiffahrtsakte vom 17. Oktober 1868 erlassenen, das Lotsen- und Steuermannswesen auf dem Rhein von Basel bis Mannheim/Ludwigshafen betreffenden Gesetze und Verordnungen.</w:t>
      </w:r>
    </w:p>
    <w:p>
      <w:r>
        <w:rPr>
          <w:color w:val="555555"/>
          <w:sz w:val="17"/>
        </w:rPr>
        <w:t xml:space="preserve">Zitiervorschlag: § 22 RheinLotsO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https://recht.nulegal.eu/gesetze/RheinLotsO/22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