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1. Das Lotsenpatent wird durch die zuständigen Behörden für die folgenden Rheinstrecken erteilt:</w:t>
      </w:r>
    </w:p>
    <w:p>
      <w:pPr>
        <w:ind w:left="420"/>
      </w:pPr>
      <w:r>
        <w:t xml:space="preserve">a) für die Strecke zwischen Basel und Straßburg/Kehl,</w:t>
      </w:r>
    </w:p>
    <w:p>
      <w:pPr>
        <w:ind w:left="420"/>
      </w:pPr>
      <w:r>
        <w:t xml:space="preserve">b) für die Strecke zwischen Straßburg/Kehl und Mannheim/Ludwigshafen.</w:t>
      </w:r>
    </w:p>
    <w:p>
      <w:r>
        <w:t xml:space="preserve">2. Das Lotsenpatent kann für beide Strecken erworben werden.</w:t>
      </w:r>
    </w:p>
    <w:p>
      <w:r>
        <w:rPr>
          <w:color w:val="555555"/>
          <w:sz w:val="17"/>
        </w:rPr>
        <w:t xml:space="preserve">Zitiervorschlag: § 2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