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RheinLotsO</w:t>
      </w:r>
    </w:p>
    <w:p>
      <w:r>
        <w:rPr>
          <w:color w:val="555555"/>
          <w:sz w:val="18"/>
        </w:rPr>
        <w:t xml:space="preserve">Lotsenordnung für den Rhein zwischen Basel und Mannheim/Ludwigshafen (Anlage 1 zu der Verordnung zur Einführung der Lotsenordnung für den Oberrhein)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1. Die vom Bewerber zu zahlenden Gebühren</w:t>
      </w:r>
    </w:p>
    <w:p>
      <w:pPr>
        <w:ind w:left="420"/>
      </w:pPr>
      <w:r>
        <w:t xml:space="preserve">a) für die Abnahme der Lotsenprüfung (§ 8),</w:t>
      </w:r>
    </w:p>
    <w:p>
      <w:pPr>
        <w:ind w:left="420"/>
      </w:pPr>
      <w:r>
        <w:t xml:space="preserve">b) für die Erteilung des Lotsenpatents (§ 12 Nr. 1),</w:t>
      </w:r>
    </w:p>
    <w:p>
      <w:pPr>
        <w:ind w:left="420"/>
      </w:pPr>
      <w:r>
        <w:t xml:space="preserve">c) für die zweite Ausfertigung des Lotsenpatents (§ 12 Nr. 2)</w:t>
      </w:r>
    </w:p>
    <w:p>
      <w:r>
        <w:t xml:space="preserve">werden nach Maßgabe einer besonderen, von den beteiligten Staaten zu erlassenden Gebührenordnung erhoben. 2. Es soll hinsichtlich der Staatsangehörigkeit des Bewerbers kein Unterschied gemacht werden.</w:t>
      </w:r>
    </w:p>
    <w:p>
      <w:r>
        <w:rPr>
          <w:color w:val="555555"/>
          <w:sz w:val="17"/>
        </w:rPr>
        <w:t xml:space="preserve">Zitiervorschlag: § 19 RheinLotsO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https://recht.nulegal.eu/gesetze/RheinLotsO/19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