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RheinLotsO</w:t>
      </w:r>
    </w:p>
    <w:p>
      <w:r>
        <w:rPr>
          <w:color w:val="555555"/>
          <w:sz w:val="18"/>
        </w:rPr>
        <w:t xml:space="preserve">Lotsenordnung für den Rhein zwischen Basel und Mannheim/Ludwigshafen (Anlage 1 zu der Verordnung zur Einführung der Lotsenordnung für den Oberrhein)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Lotsenpatent kann entzogen werden,</w:t>
      </w:r>
    </w:p>
    <w:p>
      <w:pPr>
        <w:ind w:left="420"/>
      </w:pPr>
      <w:r>
        <w:t xml:space="preserve">a) wenn der Lotse seine Tätigkeit länger als sechs Monate nicht ausgeübt hat oder</w:t>
      </w:r>
    </w:p>
    <w:p>
      <w:pPr>
        <w:ind w:left="420"/>
      </w:pPr>
      <w:r>
        <w:t xml:space="preserve">b) wenn der Lotse wiederholt Lotsungen ohne wichtigen Grund abgelehnt hat.</w:t>
      </w:r>
    </w:p>
    <w:p>
      <w:r>
        <w:rPr>
          <w:color w:val="555555"/>
          <w:sz w:val="17"/>
        </w:rPr>
        <w:t xml:space="preserve">Zitiervorschlag: § 16 RheinLotsO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https://recht.nulegal.eu/gesetze/RheinLotsO/16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