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RfBV — Sonderregelungen</w:t>
      </w:r>
    </w:p>
    <w:p>
      <w:r>
        <w:rPr>
          <w:color w:val="555555"/>
          <w:sz w:val="18"/>
        </w:rPr>
        <w:t xml:space="preserve">RfB-Verordnung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Vertragliche Verpflichtungen aus Versicherungsverträgen, die einer Zuführung in den kollektiven Teil der Rückstellung für Beitragsrückerstattung entgegenstehen, sind zu berücksichtigen.</w:t>
      </w:r>
    </w:p>
    <w:p>
      <w:r>
        <w:t xml:space="preserve">(2) Soweit nach einer Bestandsübertragung gemäß § 13 des Versicherungsaufsichtsgesetzes oder einer Umwandlung nach § 14 des Versicherungsaufsichtsgesetzes die Bestände in separaten Teilbeständen geführt werden, sind die Regelungen des § 3 und des Absatzes 1 getrennt für die separaten Bestände anzuwenden.</w:t>
      </w:r>
    </w:p>
    <w:p>
      <w:r>
        <w:rPr>
          <w:color w:val="555555"/>
          <w:sz w:val="17"/>
        </w:rPr>
        <w:t xml:space="preserve">Zitiervorschlag: § 4 RfBV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