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RfBV — Geltungsbereich</w:t>
      </w:r>
    </w:p>
    <w:p>
      <w:r>
        <w:rPr>
          <w:color w:val="555555"/>
          <w:sz w:val="18"/>
        </w:rPr>
        <w:t xml:space="preserve">RfB-Verordnung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Lebensversicherungsunternehmen mit Ausnahme von Sterbekassen und regulierten Pensionskassen im Sinne von § 233 Absatz 1 oder 2 des Versicherungsaufsichtsgesetzes.</w:t>
      </w:r>
    </w:p>
    <w:p>
      <w:r>
        <w:rPr>
          <w:color w:val="555555"/>
          <w:sz w:val="17"/>
        </w:rPr>
        <w:t xml:space="preserve">Zitiervorschlag: § 1 RfBV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