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RevierjagdMeisterPrV</w:t>
      </w:r>
    </w:p>
    <w:p>
      <w:r>
        <w:rPr>
          <w:color w:val="555555"/>
          <w:sz w:val="18"/>
        </w:rPr>
        <w:t xml:space="preserve">Revierjagd-Meisterprüfungsverordnung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3 in Verbindung mit Absatz 2 des Berufsbildungsgesetzes, dessen Absatz 3 zuletzt durch Artikel 436 Nummer 4 Buchstabe b der Verordnung vom 31. August 2015 (BGBl. I S. 1474) geändert worden ist, verordnet das Bundesministerium für Ernährung und Landwirtschaft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RevierjagdMeisterPrV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https://recht.nulegal.eu/gesetze/RevierjagdMeisterPrV/eingangsformel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