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5 RevierjagdMeisterPrV — Struktur der Prüfung</w:t>
      </w:r>
    </w:p>
    <w:p>
      <w:r>
        <w:rPr>
          <w:color w:val="555555"/>
          <w:sz w:val="18"/>
        </w:rPr>
        <w:t xml:space="preserve">Revierjagd-Meisterprüfungsverordnung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Die Prüfung besteht aus</w:t>
      </w:r>
    </w:p>
    <w:p>
      <w:pPr>
        <w:ind w:left="420"/>
      </w:pPr>
      <w:r>
        <w:t xml:space="preserve">1. einem Arbeitsprojekt nach § 6 sowie</w:t>
      </w:r>
    </w:p>
    <w:p>
      <w:pPr>
        <w:ind w:left="420"/>
      </w:pPr>
      <w:r>
        <w:t xml:space="preserve">2. einer schriftlichen Prüfung nach § 7.</w:t>
      </w:r>
    </w:p>
    <w:p>
      <w:r>
        <w:rPr>
          <w:color w:val="555555"/>
          <w:sz w:val="17"/>
        </w:rPr>
        <w:t xml:space="preserve">Zitiervorschlag: § 5 RevierjagdMeisterPrV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https://recht.nulegal.eu/gesetze/RevierjagdMeisterPrV/5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