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RettungsG — Enteignungsakt</w:t>
      </w:r>
    </w:p>
    <w:p>
      <w:r>
        <w:rPr>
          <w:color w:val="555555"/>
          <w:sz w:val="18"/>
        </w:rPr>
        <w:t xml:space="preserve">Rettungsübernahmegesetz</w:t>
      </w:r>
    </w:p>
    <w:p>
      <w:r>
        <w:rPr>
          <w:color w:val="555555"/>
          <w:sz w:val="18"/>
        </w:rPr>
        <w:t xml:space="preserve">Stand: 17.07.2020 (konsolidierte Textfassung, kein amtliches Inkrafttretensdatum)</w:t>
      </w:r>
    </w:p>
    <w:p>
      <w:r>
        <w:t xml:space="preserve">(1) Die Enteignung erfolgt durch Erlass einer Rechtsverordnung der Bundesregierung ohne Zustimmung des Bundesrates. Die Rechtsverordnung muss mindestens die folgenden Angaben enthalten:</w:t>
      </w:r>
    </w:p>
    <w:p>
      <w:pPr>
        <w:ind w:left="420"/>
      </w:pPr>
      <w:r>
        <w:t xml:space="preserve">1. eine genaue Bezeichnung des Enteignungsgegenstandes;</w:t>
      </w:r>
    </w:p>
    <w:p>
      <w:pPr>
        <w:ind w:left="420"/>
      </w:pPr>
      <w:r>
        <w:t xml:space="preserve">2. die Angabe des Enteignungsbegünstigten;</w:t>
      </w:r>
    </w:p>
    <w:p>
      <w:pPr>
        <w:ind w:left="420"/>
      </w:pPr>
      <w:r>
        <w:t xml:space="preserve">3. die Angabe, zu welchem Zeitpunkt der Enteignungsgegenstand auf den Enteignungsbegünstigten übergeht (Übergangszeitpunkt);</w:t>
      </w:r>
    </w:p>
    <w:p>
      <w:pPr>
        <w:ind w:left="420"/>
      </w:pPr>
      <w:r>
        <w:t xml:space="preserve">4. die Angabe, wo die Begründung für die Enteignung veröffentlicht wird und elektronisch abrufbar ist;</w:t>
      </w:r>
    </w:p>
    <w:p>
      <w:pPr>
        <w:ind w:left="420"/>
      </w:pPr>
      <w:r>
        <w:t xml:space="preserve">5. Angaben zur Höhe der Entschädigung, sofern diese zum Zeitpunkt des Erlasses der Rechtsverordnung bereits feststeht.</w:t>
      </w:r>
    </w:p>
    <w:p>
      <w:r>
        <w:t xml:space="preserve">Die Begründung zur Rechtsverordnung ist im Bundesanzeiger zu veröffentlichen.</w:t>
      </w:r>
    </w:p>
    <w:p>
      <w:r>
        <w:t xml:space="preserve">(2) Zum Übergangszeitpunkt geht der Enteignungsgegenstand einschließlich aller damit zusammenhängender Rechte auf den Enteignungsbegünstigten über. Außenstehende Bezugsrechte auf den Enteignungsgegenstand, etwa aus Wandel- und Optionsanleihen, erlöschen. Die Inhaber der Bezugsrechte haben einen Anspruch auf eine angemessene Barabfindung. Sind über enteignete Anteile an Unternehmen nach § 1 Absatz 2 Satz 1 Nummer 1 und 3 oder sonstige Rechte im Sinne des § 1 Absatz 2 Satz 1 Nummer 2 Urkunden ausgegeben, so verbriefen sie ab dem Übergangszeitpunkt bis zur Aushändigung an den Enteignungsbegünstigten nur den Anspruch auf die Enteignungsentschädigung nach § 4. Der Übergangszeitpunkt ist von Amts wegen unverzüglich in das Handelsregister einzutragen.</w:t>
      </w:r>
    </w:p>
    <w:p>
      <w:r>
        <w:t xml:space="preserve">(3) § 19 des Wirtschaftsstabilisierungsbeschleunigungsgesetzes gilt für einen nach Absatz 2 erfolgten Übergang von Anteilen an Unternehmen nach § 1 Absatz 2 Satz 1 Nummer 1 und 3 oder von sonstigen Rechten im Sinne des § 1 Absatz 2 Satz 1 Nummer 2 entsprechend.</w:t>
      </w:r>
    </w:p>
    <w:p>
      <w:r>
        <w:t xml:space="preserve">(4) Die Mitgliedschaft eines Unternehmens nach § 1 Absatz 2 Satz 1 Nummer 1 oder Nummer 3, dessen Anteile enteignet wurden, in einer gesetzlichen Entschädigungseinrichtung nach dem Einlagensicherungs- und Anlegerentschädigungsgesetz bleibt durch den Übergang der Anteile unberührt.</w:t>
      </w:r>
    </w:p>
    <w:p>
      <w:r>
        <w:rPr>
          <w:color w:val="555555"/>
          <w:sz w:val="17"/>
        </w:rPr>
        <w:t xml:space="preserve">Zitiervorschlag: § 2 RettungsG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https://recht.nulegal.eu/gesetze/RettungsG/2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