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RestMeistPrV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Restaurantmeister/Geprüfte Restaurantmeisterin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9 und 10 außer Betracht. Für die übrigen Prüfungsbestandteile erhöhen sich die Anteile nach § 9 Absatz 2 Satz 2 oder Absatz 3 Satz 2 oder Absatz 4 Satz 2 oder § 10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8 RestMeistPrV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https://recht.nulegal.eu/gesetze/RestMeistPrV/8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