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RestMeistPrV — Bestehen der Prüfung, Gesamtnote</w:t>
      </w:r>
    </w:p>
    <w:p>
      <w:r>
        <w:rPr>
          <w:color w:val="555555"/>
          <w:sz w:val="18"/>
        </w:rPr>
        <w:t xml:space="preserve">Verordnung über die Prüfung zum anerkannten Abschluss Geprüfter Restaurantmeister/Geprüfte Restaurantmeisterin</w:t>
      </w:r>
    </w:p>
    <w:p>
      <w:r>
        <w:rPr>
          <w:color w:val="555555"/>
          <w:sz w:val="18"/>
        </w:rPr>
        <w:t xml:space="preserve">Stand: 10.01.2020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jedem Qualifikationsbereich des Prüfungsteils „Wirtschaftsbezogene Qualifikationen“,</w:t>
      </w:r>
    </w:p>
    <w:p>
      <w:pPr>
        <w:ind w:left="420"/>
      </w:pPr>
      <w:r>
        <w:t xml:space="preserve">2. in jedem Qualifikationsschwerpunkt und im situationsbezogenen gastorientierten Fachgespräch des Prüfungsteils „Handlungsspezifische Qualifikationen“ und</w:t>
      </w:r>
    </w:p>
    <w:p>
      <w:pPr>
        <w:ind w:left="420"/>
      </w:pPr>
      <w:r>
        <w:t xml:space="preserve">3. in jeder der beiden Situationsaufgaben des Prüfungsteils „Praktische Prüfung“.</w:t>
      </w:r>
    </w:p>
    <w:p>
      <w:r>
        <w:t xml:space="preserve">(2) Ist die Prüfung bestanden, werden die Bewertungen für die Prüfungsteile „Wirtschaftsbezogene Qualifikationen“, „Handlungsspezifische Qualifikationen“ und „Praktische Prüfung“ jeweils kaufmännisch auf eine ganze Zahl gerundet.</w:t>
      </w:r>
    </w:p>
    <w:p>
      <w:r>
        <w:t xml:space="preserve">(3) Den Bewertungen für die Prüfungsteile „Wirtschaftsbezogene Qualifikationen“, „Handlungsspezifische Qualifikationen“ und „Praktische Prüfung“ ist nach Anlage 1 die jeweilige Note als Dezimalzahl zuzuordnen.</w:t>
      </w:r>
    </w:p>
    <w:p>
      <w:r>
        <w:t xml:space="preserve">(4) Für die Bildung einer Gesamtnote ist als Gesamtpunktzahl das arithmetische Mittel der Bewertungen der Prüfungsteile zu berechnen.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10 RestMeistPrV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https://recht.nulegal.eu/gesetze/RestMeistPrV/10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