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RestMAProRestPrV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Auf Grund des § 42 Absatz 1 in Verbindung mit Absatz 2 und mit § 42a Absatz 1 und § 42d der Handwerksordnung in der Fassung der Bekanntmachung vom 24. September 1998 (BGBl. I S. 3074; 2006 I S. 2095), die durch Artikel 2 Nummer 17 des Gesetzes vom 12. Dezember 2019 (BGBl. I S. 2522) neu gefasst worden sind,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