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9 ResKV — Verfahren bei geplanter vorläufiger Stilllegung, Art des Einsatzes, Vergütung</w:t>
      </w:r>
    </w:p>
    <w:p>
      <w:r>
        <w:rPr>
          <w:color w:val="555555"/>
          <w:sz w:val="18"/>
        </w:rPr>
        <w:t xml:space="preserve">Netzreserveverordnung</w:t>
      </w:r>
    </w:p>
    <w:p>
      <w:r>
        <w:rPr>
          <w:color w:val="555555"/>
          <w:sz w:val="18"/>
        </w:rPr>
        <w:t xml:space="preserve">Stand: 04.01.2024 (konsolidierte Textfassung, kein amtliches Inkrafttretensdatum)</w:t>
      </w:r>
    </w:p>
    <w:p>
      <w:r>
        <w:t xml:space="preserve">(1) (weggefallen)</w:t>
      </w:r>
    </w:p>
    <w:p>
      <w:r>
        <w:t xml:space="preserve">(2) Wird der Betreiber einer Anlage, die vorläufig stillgelegt werden sollte, nach § 13b Absatz 4 des Energiewirtschaftsgesetzes zu einer längeren Bereithaltung und dem Einsatz seiner Anlage zur Gewährleistung der Sicherheit und Zuverlässigkeit des Elektrizitätsversorgungssystems verpflichtet, ist im Hinblick auf die Art des Einsatzes § 7 entsprechend anzuwenden. Der Anspruch auf angemessene Vergütung umfasst</w:t>
      </w:r>
    </w:p>
    <w:p>
      <w:pPr>
        <w:ind w:left="420"/>
      </w:pPr>
      <w:r>
        <w:t xml:space="preserve">1. die Erstattung der Erzeugungsauslagen nach § 13a Absatz 2 des Energiewirtschaftsgesetzes. Die Erzeugungsauslagen bestimmen sich nach § 6 Absatz 3 Nummer 1;</w:t>
      </w:r>
    </w:p>
    <w:p>
      <w:pPr>
        <w:ind w:left="420"/>
      </w:pPr>
      <w:r>
        <w:t xml:space="preserve">2. die Erstattung der Betriebsbereitschaftsauslagen nach § 13c Absatz 1 Satz 1 Nummer 1 des Energiewirtschaftsgesetzes; im Rahmen der Betriebsbereitschaftsauslagen werden die für die Vorhaltung und gegebenenfalls die Herstellung der Betriebsbereitschaft der betreffenden Anlage notwendigen Auslagen erstattet (Grundsatz der Auslagenerstattung); es werden ausschließlich die Auslagen berücksichtigt, die dem Betreiber zusätzlich auf Grund der Bereitstellung der Anlage für von den Betreibern von Übertragungsnetzen angeforderte Systemsicherheitsmaßnahmen entstehen; nicht erstattungsfähig sind Auslagen, die auch im Fall einer vorläufigen Stilllegung oder im Hinblick auf eine spätere Rückkehr an die Strommärkte angefallen wären, sowie Opportunitätskosten;</w:t>
      </w:r>
    </w:p>
    <w:p>
      <w:pPr>
        <w:ind w:left="420"/>
      </w:pPr>
      <w:r>
        <w:t xml:space="preserve">3. den Werteverbrauch der technischen Anlagen oder Anlagenteile, wenn und soweit die technischen Anlagen in der Netzreserve tatsächlich eingesetzt werden; für die Bestimmung des anteiligen Werteverbrauchs ist § 13c Absatz 1 Satz 3 des Energiewirtschaftsgesetzes entsprechend anzuwenden.</w:t>
      </w:r>
    </w:p>
    <w:p>
      <w:r>
        <w:t xml:space="preserve">(3) (weggefallen)</w:t>
      </w:r>
    </w:p>
    <w:p>
      <w:r>
        <w:t xml:space="preserve">(4) (weggefallen)</w:t>
      </w:r>
    </w:p>
    <w:p>
      <w:r>
        <w:t xml:space="preserve">(5) Die durch die Verpflichtung des Anlagenbetreibers nach Absatz 2 und 3 entstehenden Kosten der Übertragungsnetzbetreiber werden durch Festlegung der Bundesnetzagentur zu einer freiwilligen Selbstverpflichtung der Übertragungsnetzbetreiber gemäß § 11 Absatz 2 Satz 4 und § 32 Absatz 1 Nummer 4 der Anreizregulierungsverordnung vom 29. Oktober 2007 (BGBl. I S. 2529), die zuletzt durch Artikel 7 des Gesetzes vom 20. Dezember 2012 (BGBl. I S. 2730) geändert worden ist, in ihrer jeweils geltenden Fassung als verfahrensregulierte Kosten nach Maßgabe der hierfür geltenden Vorgaben oder einer Festlegung nach § 21a des Energiewirtschaftsgesetzes anerkannt.</w:t>
      </w:r>
    </w:p>
    <w:p>
      <w:r>
        <w:rPr>
          <w:color w:val="555555"/>
          <w:sz w:val="17"/>
        </w:rPr>
        <w:t xml:space="preserve">Zitiervorschlag: § 9 ResKV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https://recht.nulegal.eu/gesetze/ResKV/9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