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ResKV — Zweck der Bildung einer Netzreserve, Systemsicherheit</w:t>
      </w:r>
    </w:p>
    <w:p>
      <w:r>
        <w:rPr>
          <w:color w:val="555555"/>
          <w:sz w:val="18"/>
        </w:rPr>
        <w:t xml:space="preserve">Netzreserveverordnung</w:t>
      </w:r>
    </w:p>
    <w:p>
      <w:r>
        <w:rPr>
          <w:color w:val="555555"/>
          <w:sz w:val="18"/>
        </w:rPr>
        <w:t xml:space="preserve">Stand: 10.06.2019 (konsolidierte Textfassung, kein amtliches Inkrafttretensdatum)</w:t>
      </w:r>
    </w:p>
    <w:p>
      <w:r>
        <w:t xml:space="preserve">(1) Zweck der Bildung einer Netzreserve ist die Vorhaltung von Erzeugungskapazitäten zur Gewährleistung der Sicherheit und Zuverlässigkeit des Elektrizitätsversorgungssystems, insbesondere für die Bewirtschaftung von Netzengpässen und für die Spannungshaltung.</w:t>
      </w:r>
    </w:p>
    <w:p>
      <w:r>
        <w:t xml:space="preserve">(2) Eine Gefährdung der Sicherheit und Zuverlässigkeit des Elektrizitätsversorgungssystems liegt vor, wenn örtliche Ausfälle des Übertragungsnetzes oder kurzfristige Netzengpässe zu besorgen sind oder zu besorgen ist, dass die Haltung von Frequenz, Spannung oder Stabilität durch die Übertragungsnetzbetreiber nicht im erforderlichen Maße gewährleistet werden kann. Maßstab ist der Erhalt der Systemsicherheit im Sinne von Satz 1 unter Berücksichtigung der anerkannten Regeln der Technik für den sicheren Netzbetrieb im Sinne von § 49 des Energiewirtschaftsgesetzes. Für einen sicheren Netzbetrieb sollen auch systemrelevante Mehrfachfehler angemessen beherrscht werden.</w:t>
      </w:r>
    </w:p>
    <w:p>
      <w:r>
        <w:rPr>
          <w:color w:val="555555"/>
          <w:sz w:val="17"/>
        </w:rPr>
        <w:t xml:space="preserve">Zitiervorschlag: § 2 ResKV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https://recht.nulegal.eu/gesetze/ResKV/2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