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ResKV — Verfahren bei geplanter endgültiger Stilllegung von Anlagen, Art des Einsatzes, Vergütung</w:t>
      </w:r>
    </w:p>
    <w:p>
      <w:r>
        <w:rPr>
          <w:color w:val="555555"/>
          <w:sz w:val="18"/>
        </w:rPr>
        <w:t xml:space="preserve">Netzreserveverordnung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einem Betreiber die endgültige Stilllegung seiner Anlage nach § 13b Absatz 2 und 5 des Energiewirtschaftsgesetzes verboten, so sind im Hinblick auf die Bemessung der Vergütung der Anlagenbetreiber durch Erzeugungs- und Betriebsbereitschaftsauslagen, Opportunitätskosten und Werteverbrauch sowie für die Anerkennung der hierdurch verursachten Kosten der Betreiber von Übertragungsnetzen § 6 und im Hinblick auf die Art des Einsatzes der Netzreserve § 7 entsprechend anzuwenden.</w:t>
      </w:r>
    </w:p>
    <w:p>
      <w:r>
        <w:rPr>
          <w:color w:val="555555"/>
          <w:sz w:val="17"/>
        </w:rPr>
        <w:t xml:space="preserve">Zitiervorschlag: § 10 ResKV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https://recht.nulegal.eu/gesetze/ResKV/10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