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ResKV — Anwendungsbereich, Vorrang der Netzreserve, Umgang mit bestehenden Verträgen</w:t>
      </w:r>
    </w:p>
    <w:p>
      <w:r>
        <w:rPr>
          <w:color w:val="555555"/>
          <w:sz w:val="18"/>
        </w:rPr>
        <w:t xml:space="preserve">Netzreserveverordnung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regelt das Verfahren der Beschaffung der Netzreserve, den Einsatz von Anlagen in der Netzreserve nach § 13d Absatz 1 des Energiewirtschaftsgesetzes sowie Anforderungen an Anlagen in der Netzreserve auf Grundlage von § 13i Absatz 3 Nummer 2 des Energiewirtschaftsgesetzes. Sie präzisiert zudem die Bestimmungen zum Umgang mit geplanten Stilllegungen von Erzeugungsanlagen oder Anlagen zur Speicherung von elektrischer Energie auf Grundlage von § 13a Absatz 1, der §§ 13b bis 13d sowie 13i Absatz 3 Nummer 1 des Energiewirtschaftsgesetzes.</w:t>
      </w:r>
    </w:p>
    <w:p>
      <w:r>
        <w:t xml:space="preserve">(2) Die Bildung einer Netzreserve erfolgt auf Grundlage des Abschlusses von Verträgen zwischen Übertragungsnetz- und Anlagenbetreibern nach Abstimmung mit der Bundesnetzagentur über die Nutzung bestimmter Anlagen gemäß den Bestimmungen der §§ 2 bis 9 (vertragliches Schuldverhältnis). Der Einsatz der Anlagen der Netzreserve erfolgt dann auf Grundlage der abgeschlossenen Verträge. Die Bildung der Netzreserve nach Satz 1 erfolgt vorrangig zur Nutzung der gesetzlichen Bestimmungen zum Umgang mit geplanten Stilllegungen von Anlagen.</w:t>
      </w:r>
    </w:p>
    <w:p>
      <w:r>
        <w:t xml:space="preserve">(3) Bestehende Verträge und Optionen, welche von Übertragungsnetzbetreibern in Abstimmung mit der Bundesnetzagentur für die Nutzung von Reservekraftwerken für die Winter 2011/2012 und 2012/2013 abgeschlossen wurden, werden durch die Vorgaben der Verordnung nicht berührt.</w:t>
      </w:r>
    </w:p>
    <w:p>
      <w:r>
        <w:rPr>
          <w:color w:val="555555"/>
          <w:sz w:val="17"/>
        </w:rPr>
        <w:t xml:space="preserve">Zitiervorschlag: § 1 ResKV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https://recht.nulegal.eu/gesetze/ResKV/1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