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ResG — Berechtigung zum Tragen der Uniform außerhalb eines Wehrdienstverhältnisses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Früheren Soldatinnen und früheren Soldaten, die ihren Dienstgrad nicht verloren haben, kann gestattet werden, die Uniform mit dem Abzeichen des Dienstgrads, den zu führen sie berechtigt sind, zu tragen.</w:t>
      </w:r>
    </w:p>
    <w:p>
      <w:r>
        <w:t xml:space="preserve">(2) Näheres regelt das Bundesministerium der Verteidigung durch Rechtsverordnung ohne Zustimmung des Bundesrates. In der Rechtsverordnung sind insbesondere zu regeln</w:t>
      </w:r>
    </w:p>
    <w:p>
      <w:pPr>
        <w:ind w:left="420"/>
      </w:pPr>
      <w:r>
        <w:t xml:space="preserve">1. die Anlässe, zu denen die Uniform nicht getragen werden darf, und</w:t>
      </w:r>
    </w:p>
    <w:p>
      <w:pPr>
        <w:ind w:left="420"/>
      </w:pPr>
      <w:r>
        <w:t xml:space="preserve">2. die Zuständigkeit für die Entscheidung über die Gestattung nach Absatz 1.</w:t>
      </w:r>
    </w:p>
    <w:p>
      <w:r>
        <w:rPr>
          <w:color w:val="555555"/>
          <w:sz w:val="17"/>
        </w:rPr>
        <w:t xml:space="preserve">Zitiervorschlag: § 3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