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ResG — Beendigungsgründe</w:t>
      </w:r>
    </w:p>
    <w:p>
      <w:r>
        <w:rPr>
          <w:color w:val="555555"/>
          <w:sz w:val="18"/>
        </w:rPr>
        <w:t xml:space="preserve">Reservistengesetz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Reservewehrdienstverhältnis endet</w:t>
      </w:r>
    </w:p>
    <w:p>
      <w:pPr>
        <w:ind w:left="420"/>
      </w:pPr>
      <w:r>
        <w:t xml:space="preserve">1. mit dem Ablauf der Zeit, für welche das Reservewehrdienstverhältnis begründet worden ist,</w:t>
      </w:r>
    </w:p>
    <w:p>
      <w:pPr>
        <w:ind w:left="420"/>
      </w:pPr>
      <w:r>
        <w:t xml:space="preserve">2. durch Umwandlung in das Dienstverhältnis einer Soldatin auf Zeit, eines Soldaten auf Zeit, einer Berufssoldatin oder eines Berufssoldaten,</w:t>
      </w:r>
    </w:p>
    <w:p>
      <w:pPr>
        <w:ind w:left="420"/>
      </w:pPr>
      <w:r>
        <w:t xml:space="preserve">3. im Spannungs- und Verteidigungsfall durch Heranziehung oder Einberufung zu einem unbefristeten Wehrdienst,</w:t>
      </w:r>
    </w:p>
    <w:p>
      <w:pPr>
        <w:ind w:left="420"/>
      </w:pPr>
      <w:r>
        <w:t xml:space="preserve">4. durch den Verlust der Rechtsstellung einer Soldatin oder eines Soldaten im Reservewehrdienstverhältnis entsprechend § 48 des Soldatengesetzes oder</w:t>
      </w:r>
    </w:p>
    <w:p>
      <w:pPr>
        <w:ind w:left="420"/>
      </w:pPr>
      <w:r>
        <w:t xml:space="preserve">5. durch Entlassung nach § 13.</w:t>
      </w:r>
    </w:p>
    <w:p>
      <w:r>
        <w:rPr>
          <w:color w:val="555555"/>
          <w:sz w:val="17"/>
        </w:rPr>
        <w:t xml:space="preserve">Zitiervorschlag: § 12 ResG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