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RentÜG — Grundsätze der Digitalen Rentenübersicht</w:t>
      </w:r>
    </w:p>
    <w:p>
      <w:r>
        <w:rPr>
          <w:color w:val="555555"/>
          <w:sz w:val="18"/>
        </w:rPr>
        <w:t xml:space="preserve">Rentenübersichtsgesetz</w:t>
      </w:r>
    </w:p>
    <w:p>
      <w:r>
        <w:rPr>
          <w:color w:val="555555"/>
          <w:sz w:val="18"/>
        </w:rPr>
        <w:t xml:space="preserve">Stand: 20.02.2021 (konsolidierte Textfassung, kein amtliches Inkrafttretensdatum)</w:t>
      </w:r>
    </w:p>
    <w:p>
      <w:r>
        <w:t xml:space="preserve">(1) Bürgerinnen und Bürger können die Digitale Rentenübersicht über das Portal der Zentralen Stelle für die Digitale Rentenübersicht abfragen. Die Digitale Rentenübersicht wird den Nutzenden von der Zentralen Stelle für die Digitale Rentenübersicht ausschließlich elektronisch zur Verfügung gestellt.</w:t>
      </w:r>
    </w:p>
    <w:p>
      <w:r>
        <w:t xml:space="preserve">(2) Die Zentrale Stelle für die Digitale Rentenübersicht fragt nach Abfrage der oder des Nutzenden die in § 5 Absatz 1 genannten Informationen bei den angebundenen Vorsorgeeinrichtungen unter Angabe der Identifikationsnummer der oder des Nutzenden an. Sind bei der Vorsorgeeinrichtung die in § 5 Absatz 1 genannten Daten zu der oder dem Nutzenden gespeichert und kann die Vorsorgeeinrichtung eine Zuordnung der oder des Nutzenden anhand der Identifikationsnummer vornehmen, werden die in § 5 Absatz 1 genannten Daten unter Angabe der Identifikationsnummer der Zentralen Stelle für die Digitale Rentenübersicht übermittelt. Sind bei der Vorsorgeeinrichtung keine Daten nach § 5 Absatz 1 vorhanden oder kann sie eine eindeutige Zuordnung der Anfrage nicht vornehmen, meldet die Vorsorgeeinrichtung dies unter Angabe der Identifikationsnummer der Zentralen Stelle für die Digitale Rentenübersicht. In diesem Fall hat die Vorsorgeeinrichtung die mit der Anfrage durch die Zentrale Stelle für die Digitale Rentenübersicht übermittelten personenbezogenen Daten unmittelbar nach Beantwortung der Anfrage zu löschen, soweit die Vorsorgeeinrichtung diese Daten nicht bereits in einem anderen Zusammenhang rechtmäßig erhoben hat.</w:t>
      </w:r>
    </w:p>
    <w:p>
      <w:r>
        <w:rPr>
          <w:color w:val="555555"/>
          <w:sz w:val="17"/>
        </w:rPr>
        <w:t xml:space="preserve">Zitiervorschlag: § 4 RentÜG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https://recht.nulegal.eu/gesetze/Rent%C3%9CG/4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