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RentÜG — Begriffsbestimmungen</w:t>
      </w:r>
    </w:p>
    <w:p>
      <w:r>
        <w:rPr>
          <w:color w:val="555555"/>
          <w:sz w:val="18"/>
        </w:rPr>
        <w:t xml:space="preserve">Rentenübersichtsgesetz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dieses Gesetz gelten die folgenden Begriffsbestimmungen:</w:t>
      </w:r>
    </w:p>
    <w:p>
      <w:pPr>
        <w:ind w:left="420"/>
      </w:pPr>
      <w:r>
        <w:t xml:space="preserve">1. Altersvorsorgeprodukte: alle Versicherungen, Zusagen und Verträge, auf deren Grundlage Leistungen der gesetzlichen, betrieblichen oder privaten Altersvorsorge in der Zukunft erbracht werden; dabei</w:t>
      </w:r>
    </w:p>
    <w:p>
      <w:pPr>
        <w:ind w:left="780"/>
      </w:pPr>
      <w:r>
        <w:t xml:space="preserve">a) sind zur gesetzlichen Altersvorsorge die gesetzliche Rentenversicherung, die Alterssicherung der Landwirte, die berufsständische Versorgung und die Versorgung der Beamten, Richter und Soldaten zu zählen,</w:t>
      </w:r>
    </w:p>
    <w:p>
      <w:pPr>
        <w:ind w:left="780"/>
      </w:pPr>
      <w:r>
        <w:t xml:space="preserve">b) ist betriebliche Altersvorsorge als betriebliche Altersversorgung im Sinne des § 1 des Betriebsrentengesetzes zu verstehen und</w:t>
      </w:r>
    </w:p>
    <w:p>
      <w:pPr>
        <w:ind w:left="780"/>
      </w:pPr>
      <w:r>
        <w:t xml:space="preserve">c) sind zur privaten Altersvorsorge insbesondere die nach den §§ 5 und 5a des Altersvorsorgeverträge-Zertifizierungsgesetzes zertifizierten Altersvorsorge- und Basisrentenverträge zu zählen sowie private Lebensversicherungsverträge, die einmalige oder wiederkehrende Erlebensfallleistungen mit rentennahem Beginn des Leistungsbezugs erbringen,</w:t>
      </w:r>
    </w:p>
    <w:p>
      <w:pPr>
        <w:ind w:left="420"/>
      </w:pPr>
      <w:r>
        <w:t xml:space="preserve">2. Vorsorgeeinrichtungen: alle Anbieter, Träger oder Stellen, die gesetzliche, betriebliche oder private Altersvorsorgeprodukte anbieten,</w:t>
      </w:r>
    </w:p>
    <w:p>
      <w:pPr>
        <w:ind w:left="420"/>
      </w:pPr>
      <w:r>
        <w:t xml:space="preserve">3. Standmitteilungen: alle Renteninformationen oder vergleichbare Informationen, die Vorsorgeeinrichtungen ihren Kundinnen und Kunden regelmäßig zur Verfügung stellen, um über die Höhe der Altersvorsorgeansprüche zu informieren,</w:t>
      </w:r>
    </w:p>
    <w:p>
      <w:pPr>
        <w:ind w:left="420"/>
      </w:pPr>
      <w:r>
        <w:t xml:space="preserve">4. erreichte Altersvorsorgeansprüche: die bis zum Stichtag der Standmitteilung erworbenen Ansprüche aus Altersvorsorgeprodukten (Altersvorsorgeansprüche) bei Beginn des Leistungsbezugs oder bei Ablauf des Vertrages unter der Annahme, dass keine weiteren Ansprüche erworben werden,</w:t>
      </w:r>
    </w:p>
    <w:p>
      <w:pPr>
        <w:ind w:left="420"/>
      </w:pPr>
      <w:r>
        <w:t xml:space="preserve">5. erreichbare Altersvorsorgeansprüche: die Altersvorsorgeansprüche bei Beginn des Leistungsbezugs oder bei Ablauf des Vertrages unter der Annahme, dass bis dahin weitere Ansprüche erworben werden; ist ein weiterer Erwerb von Ansprüchen insbesondere aus vertraglichen oder versicherungsrechtlichen Gründen nicht vorgesehen oder zu erwarten, entsprechen die erreichbaren Altersvorsorgeansprüche den erreichten Altersvorsorgeansprüchen,</w:t>
      </w:r>
    </w:p>
    <w:p>
      <w:pPr>
        <w:ind w:left="420"/>
      </w:pPr>
      <w:r>
        <w:t xml:space="preserve">6. garantierte Werte: die erreichten oder erreichbaren Altersvorsorgeansprüche, die nach geltendem Recht mindestens entstanden sind oder entstehen werden oder vertraglich zugesichert sind,</w:t>
      </w:r>
    </w:p>
    <w:p>
      <w:pPr>
        <w:ind w:left="420"/>
      </w:pPr>
      <w:r>
        <w:t xml:space="preserve">7. prognostizierte Werte: die erreichten oder erreichbaren Altersvorsorgeansprüche, die sich unter Zugrundelegung einer realistischen Einschätzung der künftigen Entwicklung ergeben können,</w:t>
      </w:r>
    </w:p>
    <w:p>
      <w:pPr>
        <w:ind w:left="420"/>
      </w:pPr>
      <w:r>
        <w:t xml:space="preserve">8. Identifikationsnummer: die einer natürlichen Person vom Bundeszentralamt für Steuern nach § 139b der Abgabenordnung zugeteilte Identifikationsnummer.</w:t>
      </w:r>
    </w:p>
    <w:p>
      <w:r>
        <w:rPr>
          <w:color w:val="555555"/>
          <w:sz w:val="17"/>
        </w:rPr>
        <w:t xml:space="preserve">Zitiervorschlag: § 2 RentÜG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https://recht.nulegal.eu/gesetze/Rent%C3%9CG/2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