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RentÜG — Verordnungsermächtigung</w:t>
      </w:r>
    </w:p>
    <w:p>
      <w:r>
        <w:rPr>
          <w:color w:val="555555"/>
          <w:sz w:val="18"/>
        </w:rPr>
        <w:t xml:space="preserve">Rentenübersichtsgesetz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Das Bundesministerium für Arbeit und Soziales wird ermächtigt, im Einvernehmen mit dem Bundesministerium der Finanzen durch Rechtsverordnung ohne Zustimmung des Bundesrates Näheres zu regeln</w:t>
      </w:r>
    </w:p>
    <w:p>
      <w:pPr>
        <w:ind w:left="420"/>
      </w:pPr>
      <w:r>
        <w:t xml:space="preserve">1. zum Inhalt und Umfang der in § 3 bestimmten Aufgaben der Zentralen Stelle für die Digitale Rentenübersicht,</w:t>
      </w:r>
    </w:p>
    <w:p>
      <w:pPr>
        <w:ind w:left="420"/>
      </w:pPr>
      <w:r>
        <w:t xml:space="preserve">2. zum Verfahren für die Authentifizierung der Nutzenden nach § 12 Absatz 1,</w:t>
      </w:r>
    </w:p>
    <w:p>
      <w:pPr>
        <w:ind w:left="420"/>
      </w:pPr>
      <w:r>
        <w:t xml:space="preserve">3. zu Inhalt, Art und Form der statistischen Erfassung und Auswertung von Daten nach § 3 Absatz 5 sowie zu deren Übermittlung an das Bundesministerium für Arbeit und Soziales.</w:t>
      </w:r>
    </w:p>
    <w:p>
      <w:r>
        <w:t xml:space="preserve">(2) Die Bundesregierung wird ermächtigt, durch Rechtsverordnung ohne Zustimmung des Bundesrates Näheres zu regeln</w:t>
      </w:r>
    </w:p>
    <w:p>
      <w:pPr>
        <w:ind w:left="420"/>
      </w:pPr>
      <w:r>
        <w:t xml:space="preserve">1. zum Verfahren der Anbindung der Vorsorgeeinrichtungen an die Zentrale Stelle für die Digitale Rentenübersicht nach § 7,</w:t>
      </w:r>
    </w:p>
    <w:p>
      <w:pPr>
        <w:ind w:left="420"/>
      </w:pPr>
      <w:r>
        <w:t xml:space="preserve">2. zum Verfahren der Anfragen der Zentralen Stelle für die Digitale Rentenübersicht bei den Vorsorgeeinrichtungen und der Übermittlung der Daten nach § 5 Absatz 1, insbesondere zu Schnittstellen, technischen Regeln, Aufzeichnungs-, Aufbewahrungs-, Bescheinigungs- sowie Anzeige- und Mitteilungspflichten der Vorsorgeeinrichtungen,</w:t>
      </w:r>
    </w:p>
    <w:p>
      <w:pPr>
        <w:ind w:left="420"/>
      </w:pPr>
      <w:r>
        <w:t xml:space="preserve">3. zum Datenaustausch zwischen der Zentralen Stelle für die Digitale Rentenübersicht und den Vorsorgeeinrichtungen nach diesem Gesetz, insbesondere zum Inhalt und Aufbau der für die Durchführung des Verfahrens zu übermittelnden Datensätze,</w:t>
      </w:r>
    </w:p>
    <w:p>
      <w:pPr>
        <w:ind w:left="420"/>
      </w:pPr>
      <w:r>
        <w:t xml:space="preserve">4. zur Konkretisierung der Begriffsbestimmungen nach § 2 und zur Konkretisierung des Inhalts der Digitalen Rentenübersicht nach § 5,</w:t>
      </w:r>
    </w:p>
    <w:p>
      <w:pPr>
        <w:ind w:left="420"/>
      </w:pPr>
      <w:r>
        <w:t xml:space="preserve">5. zu den Aufgaben, der Zusammensetzung, der Berufung und den Rechten und Pflichten der Mitglieder, der Amtsdauer und dem Verfahren für Beschlüsse des Steuerungsgremiums nach § 9.</w:t>
      </w:r>
    </w:p>
    <w:p>
      <w:r>
        <w:t xml:space="preserve">(3) Die Bundesregierung wird ermächtigt, durch Rechtsverordnung ohne Zustimmung des Bundesrates den Stichtag für die verpflichtende Anbindung nach § 7 Absatz 1 Satz 3 festzulegen. Es sollen Übergangsfristen gewährt werden.</w:t>
      </w:r>
    </w:p>
    <w:p>
      <w:r>
        <w:rPr>
          <w:color w:val="555555"/>
          <w:sz w:val="17"/>
        </w:rPr>
        <w:t xml:space="preserve">Zitiervorschlag: § 13 RentÜG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https://recht.nulegal.eu/gesetze/Rent%C3%9CG/13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