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RentÜG — Verarbeitung der Identifikationsnummer</w:t>
      </w:r>
    </w:p>
    <w:p>
      <w:r>
        <w:rPr>
          <w:color w:val="555555"/>
          <w:sz w:val="18"/>
        </w:rPr>
        <w:t xml:space="preserve">Rentenübersichtsgesetz</w:t>
      </w:r>
    </w:p>
    <w:p>
      <w:r>
        <w:rPr>
          <w:color w:val="555555"/>
          <w:sz w:val="18"/>
        </w:rPr>
        <w:t xml:space="preserve">Stand: 20.02.2021 (konsolidierte Textfassung, kein amtliches Inkrafttretensdatum)</w:t>
      </w:r>
    </w:p>
    <w:p>
      <w:r>
        <w:t xml:space="preserve">Die angebundenen Vorsorgeeinrichtungen sind berechtigt, die Identifikationsnummern bei ihren Kundinnen und Kunden zu erheben. Nur die angebundenen Träger der gesetzlichen Rentenversicherung, der Alterssicherung der Landwirte und die berufsständischen Versorgungseinrichtungen können nach § 22a Absatz 2 Satz 10 des Einkommensteuergesetzes die Identifikationsnummern ihrer Kundinnen und Kunden erheben. Die angebundenen Vorsorgeeinrichtungen sind berechtigt, eine rechtmäßig erhobene Identifikationsnummer ihrer Kundinnen und Kunden zur Durchführung dieses Gesetzes zu verarbeiten, auch wenn sie zu einem anderen Zweck erhoben wurde. Entsprechendes gilt für die Datenstelle der Rentenversicherung sowie für die mit der Anbindung und Übermittlung nach § 4 Absatz 2 an die Zentrale Stelle für die Digitale Rentenübersicht beauftragten Dritten.</w:t>
      </w:r>
    </w:p>
    <w:p>
      <w:r>
        <w:rPr>
          <w:color w:val="555555"/>
          <w:sz w:val="17"/>
        </w:rPr>
        <w:t xml:space="preserve">Zitiervorschlag: § 11 RentÜG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https://recht.nulegal.eu/gesetze/Rent%C3%9CG/11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