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RentÜG — Fachbeiräte</w:t>
      </w:r>
    </w:p>
    <w:p>
      <w:r>
        <w:rPr>
          <w:color w:val="555555"/>
          <w:sz w:val="18"/>
        </w:rPr>
        <w:t xml:space="preserve">Rentenübersichtsgesetz</w:t>
      </w:r>
    </w:p>
    <w:p>
      <w:r>
        <w:rPr>
          <w:color w:val="555555"/>
          <w:sz w:val="18"/>
        </w:rPr>
        <w:t xml:space="preserve">Stand: 20.02.2021 (konsolidierte Textfassung, kein amtliches Inkrafttretensdatum)</w:t>
      </w:r>
    </w:p>
    <w:p>
      <w:r>
        <w:t xml:space="preserve">Zu ihrer weiteren Unterstützung und Beratung kann die Zentrale Stelle für die Digitale Rentenübersicht Fachbeiräte einsetzen. Zu bestimmten Fragestellungen setzt die Zentrale Stelle für die Digitale Rentenübersicht auf Beschluss des Steuerungsgremiums Fachbeiräte ein.</w:t>
      </w:r>
    </w:p>
    <w:p>
      <w:r>
        <w:rPr>
          <w:color w:val="555555"/>
          <w:sz w:val="17"/>
        </w:rPr>
        <w:t xml:space="preserve">Zitiervorschlag: § 10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