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RentÜAV</w:t>
      </w:r>
    </w:p>
    <w:p>
      <w:r>
        <w:rPr>
          <w:color w:val="555555"/>
          <w:sz w:val="18"/>
        </w:rPr>
        <w:t xml:space="preserve">Rentenübersichtsanbindungsverordnung</w:t>
      </w:r>
    </w:p>
    <w:p>
      <w:r>
        <w:rPr>
          <w:color w:val="555555"/>
          <w:sz w:val="18"/>
        </w:rPr>
        <w:t xml:space="preserve">Stand: 06.02.2024 (konsolidierte Textfassung, kein amtliches Inkrafttretensdatum)</w:t>
      </w:r>
    </w:p>
    <w:p>
      <w:r>
        <w:t xml:space="preserve">Auf Grund des § 13 Absatz 2 Nummer 1 und Absatz 3 des Rentenübersichtsgesetzes vom 11. Februar 2021 (BGBl. I S. 154) verordnet die Bundesregierung:</w:t>
      </w:r>
    </w:p>
    <w:p>
      <w:r>
        <w:rPr>
          <w:color w:val="555555"/>
          <w:sz w:val="17"/>
        </w:rPr>
        <w:t xml:space="preserve">Zitiervorschlag: Eingangsformel RentÜAV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https://recht.nulegal.eu/gesetze/Rent%C3%9CAV/eingangsformel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