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RennwLottGZuStV — Örtliche Zuständigkeit für die Zerlegung der Rennwett- und Lotteriesteuer</w:t>
      </w:r>
    </w:p>
    <w:p>
      <w:r>
        <w:rPr>
          <w:color w:val="555555"/>
          <w:sz w:val="18"/>
        </w:rPr>
        <w:t xml:space="preserve">Rennwett- und Lotteriegesetz-Zuständigkeitsverordnung</w:t>
      </w:r>
    </w:p>
    <w:p>
      <w:r>
        <w:rPr>
          <w:color w:val="555555"/>
          <w:sz w:val="18"/>
        </w:rPr>
        <w:t xml:space="preserve">Historische Fassung: Stand 10.06.2019 bis 01.07.2021. Dies ist nicht die aktuelle Fassung.</w:t>
      </w:r>
    </w:p>
    <w:p>
      <w:r>
        <w:t xml:space="preserve">Für die Zerlegung des Gesamtaufkommens der Steuer nach § 17 Absatz 2 des Rennwett- und Lotteriegesetzes in der im Bundesgesetzblatt Teil III, Gliederungsnummer 611-14, veröffentlichten bereinigten Fassung, das zuletzt durch Artikel 1 und 4 des Gesetzes vom 29. Juni 2012 (BGBl. I S. 1424) geändert worden ist, ist die Finanzbehörde der Freien und Hansestadt Hamburg zuständig.</w:t>
      </w:r>
    </w:p>
    <w:p>
      <w:r>
        <w:rPr>
          <w:color w:val="555555"/>
          <w:sz w:val="17"/>
        </w:rPr>
        <w:t xml:space="preserve">Zitiervorschlag: § 2 RennwLottGZuStV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https://recht.nulegal.eu/gesetze/RennwLottGZuStV/2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