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Eingangsformel RennwLottGABest</w:t>
      </w:r>
    </w:p>
    <w:p>
      <w:r>
        <w:rPr>
          <w:color w:val="555555"/>
          <w:sz w:val="18"/>
        </w:rPr>
        <w:t xml:space="preserve">Rennwett- und Lotteriegesetz-Durchführungsverordnung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Auf Grund der §§ 3, 4 Abs. 1 Satz 3, § 13 Abs. 2, §§ 15, 20, 22, 25 des Rennwett- und Lotteriegesetzes vom 8. April 1922 (Reichsgesetzbl. S. 393) wird, soweit erforderlich, mit Zustimmung des Reichsrats folgendes bestimmt:</w:t>
      </w:r>
    </w:p>
    <w:p>
      <w:r>
        <w:rPr>
          <w:color w:val="555555"/>
          <w:sz w:val="17"/>
        </w:rPr>
        <w:t xml:space="preserve">Zitiervorschlag: Eingangsformel RennwLottGABest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https://recht.nulegal.eu/gesetze/RennwLottGABest/eingangsformel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