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RennwLottGABest — Abschluss der Wette beim Totalisator</w:t>
      </w:r>
    </w:p>
    <w:p>
      <w:r>
        <w:rPr>
          <w:color w:val="555555"/>
          <w:sz w:val="18"/>
        </w:rPr>
        <w:t xml:space="preserve">Rennwett- und Lotteriegesetz-Durchführungsverordnung</w:t>
      </w:r>
    </w:p>
    <w:p>
      <w:r>
        <w:rPr>
          <w:color w:val="555555"/>
          <w:sz w:val="18"/>
        </w:rPr>
        <w:t xml:space="preserve">Stand: 21.07.2021 (konsolidierte Textfassung, kein amtliches Inkrafttretensdatum)</w:t>
      </w:r>
    </w:p>
    <w:p>
      <w:r>
        <w:t xml:space="preserve">Die von dem Veranstalter und den Annahmestellen eines Totalisators dem Wettnehmer auszuhändigenden Urkunden (Totalisatorausweise, Tickets) müssen enthalten</w:t>
      </w:r>
    </w:p>
    <w:p>
      <w:pPr>
        <w:ind w:left="420"/>
      </w:pPr>
      <w:r>
        <w:t xml:space="preserve">a) die Nummer, den Ort und den Tag des Rennens (Tagesstempel oder Tageszeichen des Rennvereins),</w:t>
      </w:r>
    </w:p>
    <w:p>
      <w:pPr>
        <w:ind w:left="420"/>
      </w:pPr>
      <w:r>
        <w:t xml:space="preserve">b) den Namen oder die Programmnummer des gewetteten Pferdes oder der Pferde und die Wettart,</w:t>
      </w:r>
    </w:p>
    <w:p>
      <w:pPr>
        <w:ind w:left="420"/>
      </w:pPr>
      <w:r>
        <w:t xml:space="preserve">c) den Betrag des Wetteinsatzes,</w:t>
      </w:r>
    </w:p>
    <w:p>
      <w:pPr>
        <w:ind w:left="420"/>
      </w:pPr>
      <w:r>
        <w:t xml:space="preserve">d) den Namen des Unternehmers.</w:t>
      </w:r>
    </w:p>
    <w:p>
      <w:r>
        <w:rPr>
          <w:color w:val="555555"/>
          <w:sz w:val="17"/>
        </w:rPr>
        <w:t xml:space="preserve">Zitiervorschlag: § 7 RennwLottGABest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https://recht.nulegal.eu/gesetze/RennwLottGABest/7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