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RennwLottGABest — Bekanntmachungen</w:t>
      </w:r>
    </w:p>
    <w:p>
      <w:r>
        <w:rPr>
          <w:color w:val="555555"/>
          <w:sz w:val="18"/>
        </w:rPr>
        <w:t xml:space="preserve">Rennwett- und Lotteriegesetz-Durchführungsverordnung</w:t>
      </w:r>
    </w:p>
    <w:p>
      <w:r>
        <w:rPr>
          <w:color w:val="555555"/>
          <w:sz w:val="18"/>
        </w:rPr>
        <w:t xml:space="preserve">Stand: 21.07.2021 (konsolidierte Textfassung, kein amtliches Inkrafttretensdatum)</w:t>
      </w:r>
    </w:p>
    <w:p>
      <w:r>
        <w:t xml:space="preserve">Die Erteilung der Erlaubnis an Vereine zum Betrieb eines Totalisators und an Buchmacher zum Betrieb eines Wettunternehmens, die Beschränkung dieser Erlaubnis und ihr Widerruf sind im Bundesanzeiger öffentlich bekanntzumachen. Die jeweils für Rennwett-, Lotterie- und Sportwettensteuer zuständige Finanzbehörde ist über die Erteilung der Erlaubnis zu unterrichten.</w:t>
      </w:r>
    </w:p>
    <w:p>
      <w:r>
        <w:rPr>
          <w:color w:val="555555"/>
          <w:sz w:val="17"/>
        </w:rPr>
        <w:t xml:space="preserve">Zitiervorschlag: § 6 RennwLottGABest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https://recht.nulegal.eu/gesetze/RennwLottGABest/6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