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RennwLottGABest</w:t>
      </w:r>
    </w:p>
    <w:p>
      <w:r>
        <w:rPr>
          <w:color w:val="555555"/>
          <w:sz w:val="18"/>
        </w:rPr>
        <w:t xml:space="preserve">Rennwett- und Lotteriegesetz-Durchführungsverordnung</w:t>
      </w:r>
    </w:p>
    <w:p>
      <w:r>
        <w:rPr>
          <w:color w:val="555555"/>
          <w:sz w:val="18"/>
        </w:rPr>
        <w:t xml:space="preserve">Außer Kraft: § 52 ist seit 21.07.2021 nicht mehr im RennwLottGABest enthalten. Angezeigt wird die letzte bekannte Fassung, Stand 10.06.2019.</w:t>
      </w:r>
    </w:p>
    <w:p>
      <w:r>
        <w:t xml:space="preserve">Die Vereine sind verpflichtet, den Steuerbehörden auf Verlangen Rennprogramme und Rennberichte über die von ihnen veranstalteten Pferderennen kostenlos zu übersenden.</w:t>
      </w:r>
    </w:p>
    <w:p>
      <w:r>
        <w:rPr>
          <w:color w:val="555555"/>
          <w:sz w:val="17"/>
        </w:rPr>
        <w:t xml:space="preserve">Zitiervorschlag: § 52 RennwLottGABest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https://recht.nulegal.eu/gesetze/RennwLottGABest/52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